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F2BAC" w:rsidR="00B51EA9" w:rsidP="00673C1D" w:rsidRDefault="00B51EA9" w14:paraId="51A4F273" w14:textId="77777777">
      <w:pPr>
        <w:rPr>
          <w:rFonts w:asciiTheme="minorHAnsi" w:hAnsiTheme="minorHAnsi"/>
          <w:sz w:val="24"/>
          <w:szCs w:val="24"/>
        </w:rPr>
      </w:pPr>
    </w:p>
    <w:p w:rsidR="00C9523D" w:rsidP="007C2552" w:rsidRDefault="00537496" w14:paraId="5F9DCCC0" w14:noSpellErr="1" w14:textId="4508B680">
      <w:pPr>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 xml:space="preserve">Draft </w:t>
      </w:r>
      <w:r w:rsidRPr="61B41207" w:rsidR="61B41207">
        <w:rPr>
          <w:rFonts w:ascii="Calibri" w:hAnsi="Calibri" w:eastAsia="Calibri" w:cs="Calibri" w:asciiTheme="minorAscii" w:hAnsiTheme="minorAscii" w:eastAsiaTheme="minorAscii" w:cstheme="minorAscii"/>
          <w:sz w:val="24"/>
          <w:szCs w:val="24"/>
        </w:rPr>
        <w:t>5/3</w:t>
      </w:r>
      <w:r w:rsidRPr="61B41207" w:rsidR="61B41207">
        <w:rPr>
          <w:rFonts w:ascii="Calibri" w:hAnsi="Calibri" w:eastAsia="Calibri" w:cs="Calibri" w:asciiTheme="minorAscii" w:hAnsiTheme="minorAscii" w:eastAsiaTheme="minorAscii" w:cstheme="minorAscii"/>
          <w:sz w:val="24"/>
          <w:szCs w:val="24"/>
        </w:rPr>
        <w:t>/16</w:t>
      </w:r>
    </w:p>
    <w:p w:rsidR="00832A96" w:rsidP="00700949" w:rsidRDefault="00D613B5" w14:paraId="08B58642" w14:textId="7FAE28C7" w14:noSpellErr="1">
      <w:pPr>
        <w:jc w:val="center"/>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Federal/State Technical Work Collaboration Group</w:t>
      </w:r>
    </w:p>
    <w:p w:rsidR="00D613B5" w:rsidP="0064378F" w:rsidRDefault="00587D15" w14:paraId="4464E0C0" w14:textId="2724FA6F" w14:noSpellErr="1">
      <w:pPr>
        <w:jc w:val="center"/>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April 11</w:t>
      </w:r>
      <w:r w:rsidRPr="61B41207" w:rsidR="61B41207">
        <w:rPr>
          <w:rFonts w:ascii="Calibri" w:hAnsi="Calibri" w:eastAsia="Calibri" w:cs="Calibri" w:asciiTheme="minorAscii" w:hAnsiTheme="minorAscii" w:eastAsiaTheme="minorAscii" w:cstheme="minorAscii"/>
          <w:sz w:val="24"/>
          <w:szCs w:val="24"/>
        </w:rPr>
        <w:t xml:space="preserve">, </w:t>
      </w:r>
      <w:r w:rsidRPr="61B41207" w:rsidR="61B41207">
        <w:rPr>
          <w:rFonts w:ascii="Calibri" w:hAnsi="Calibri" w:eastAsia="Calibri" w:cs="Calibri" w:asciiTheme="minorAscii" w:hAnsiTheme="minorAscii" w:eastAsiaTheme="minorAscii" w:cstheme="minorAscii"/>
          <w:sz w:val="24"/>
          <w:szCs w:val="24"/>
        </w:rPr>
        <w:t>201</w:t>
      </w:r>
      <w:r w:rsidRPr="61B41207" w:rsidR="61B41207">
        <w:rPr>
          <w:rFonts w:ascii="Calibri" w:hAnsi="Calibri" w:eastAsia="Calibri" w:cs="Calibri" w:asciiTheme="minorAscii" w:hAnsiTheme="minorAscii" w:eastAsiaTheme="minorAscii" w:cstheme="minorAscii"/>
          <w:sz w:val="24"/>
          <w:szCs w:val="24"/>
        </w:rPr>
        <w:t>6</w:t>
      </w:r>
      <w:r w:rsidRPr="61B41207" w:rsidR="61B41207">
        <w:rPr>
          <w:rFonts w:ascii="Calibri" w:hAnsi="Calibri" w:eastAsia="Calibri" w:cs="Calibri" w:asciiTheme="minorAscii" w:hAnsiTheme="minorAscii" w:eastAsiaTheme="minorAscii" w:cstheme="minorAscii"/>
          <w:sz w:val="24"/>
          <w:szCs w:val="24"/>
        </w:rPr>
        <w:t xml:space="preserve">, </w:t>
      </w:r>
      <w:r w:rsidRPr="61B41207" w:rsidR="61B41207">
        <w:rPr>
          <w:rFonts w:ascii="Calibri" w:hAnsi="Calibri" w:eastAsia="Calibri" w:cs="Calibri" w:asciiTheme="minorAscii" w:hAnsiTheme="minorAscii" w:eastAsiaTheme="minorAscii" w:cstheme="minorAscii"/>
          <w:sz w:val="24"/>
          <w:szCs w:val="24"/>
        </w:rPr>
        <w:t>Conference Call Summary</w:t>
      </w:r>
    </w:p>
    <w:p w:rsidR="00EE71C3" w:rsidP="00EE71C3" w:rsidRDefault="00EE71C3" w14:paraId="6F02865E" w14:textId="77777777">
      <w:pPr>
        <w:rPr>
          <w:rFonts w:asciiTheme="minorHAnsi" w:hAnsiTheme="minorHAnsi"/>
          <w:sz w:val="24"/>
          <w:szCs w:val="24"/>
        </w:rPr>
      </w:pPr>
    </w:p>
    <w:p w:rsidRPr="00537496" w:rsidR="00EE71C3" w:rsidP="61B41207" w:rsidRDefault="00537496" w14:paraId="5DD6D12C" w14:textId="2D86BBDE" w14:noSpellErr="1">
      <w:pPr>
        <w:pStyle w:val="ListParagraph"/>
        <w:numPr>
          <w:ilvl w:val="0"/>
          <w:numId w:val="8"/>
        </w:numPr>
        <w:rPr>
          <w:rFonts w:ascii="Calibri" w:hAnsi="Calibri" w:eastAsia="Calibri" w:cs="Calibri" w:asciiTheme="minorAscii" w:hAnsiTheme="minorAscii" w:eastAsiaTheme="minorAscii" w:cstheme="minorAscii"/>
          <w:sz w:val="24"/>
          <w:szCs w:val="24"/>
        </w:rPr>
      </w:pPr>
      <w:r w:rsidRPr="61B41207" w:rsidR="61B41207">
        <w:rPr>
          <w:rFonts w:ascii="Calibri" w:hAnsi="Calibri" w:eastAsia="Calibri" w:cs="Calibri" w:asciiTheme="minorAscii" w:hAnsiTheme="minorAscii" w:eastAsiaTheme="minorAscii" w:cstheme="minorAscii"/>
          <w:sz w:val="24"/>
          <w:szCs w:val="24"/>
        </w:rPr>
        <w:t>Roll</w:t>
      </w:r>
      <w:r w:rsidRPr="61B41207" w:rsidR="61B41207">
        <w:rPr>
          <w:rFonts w:ascii="Calibri" w:hAnsi="Calibri" w:eastAsia="Calibri" w:cs="Calibri" w:asciiTheme="minorAscii" w:hAnsiTheme="minorAscii" w:eastAsiaTheme="minorAscii" w:cstheme="minorAscii"/>
          <w:sz w:val="24"/>
          <w:szCs w:val="24"/>
        </w:rPr>
        <w:t xml:space="preserve"> call</w:t>
      </w:r>
      <w:r w:rsidRPr="61B41207" w:rsidR="61B41207">
        <w:rPr>
          <w:rFonts w:ascii="Calibri" w:hAnsi="Calibri" w:eastAsia="Calibri" w:cs="Calibri" w:asciiTheme="minorAscii" w:hAnsiTheme="minorAscii" w:eastAsiaTheme="minorAscii" w:cstheme="minorAscii"/>
          <w:sz w:val="24"/>
          <w:szCs w:val="24"/>
        </w:rPr>
        <w:t xml:space="preserve"> – </w:t>
      </w:r>
    </w:p>
    <w:p w:rsidRPr="00537496" w:rsidR="00537496" w:rsidP="00537496" w:rsidRDefault="00537496" w14:paraId="0D48F296" w14:textId="5DFBEAE7">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 xml:space="preserve">EPA OAQPS, OAP, WESTAR-WRAP, MARAMA, NESCAUM, OTC, SESARM, LADCO, </w:t>
      </w:r>
      <w:proofErr w:type="spellStart"/>
      <w:r w:rsidRPr="61B41207" w:rsidR="61B41207">
        <w:rPr>
          <w:rFonts w:ascii="Calibri" w:hAnsi="Calibri" w:eastAsia="Calibri" w:cs="Calibri" w:asciiTheme="minorAscii" w:hAnsiTheme="minorAscii" w:eastAsiaTheme="minorAscii" w:cstheme="minorAscii"/>
          <w:sz w:val="24"/>
          <w:szCs w:val="24"/>
        </w:rPr>
        <w:t>CenSARA</w:t>
      </w:r>
      <w:proofErr w:type="spellEnd"/>
      <w:r w:rsidRPr="61B41207" w:rsidR="61B41207">
        <w:rPr>
          <w:rFonts w:ascii="Calibri" w:hAnsi="Calibri" w:eastAsia="Calibri" w:cs="Calibri" w:asciiTheme="minorAscii" w:hAnsiTheme="minorAscii" w:eastAsiaTheme="minorAscii" w:cstheme="minorAscii"/>
          <w:sz w:val="24"/>
          <w:szCs w:val="24"/>
        </w:rPr>
        <w:t>, Maryland, Georgia, Utah, Nez Perce Tribe, Texas, Missouri</w:t>
      </w:r>
    </w:p>
    <w:p w:rsidR="00EE71C3" w:rsidP="00EE71C3" w:rsidRDefault="00EE71C3" w14:paraId="08B4996F" w14:textId="77777777">
      <w:pPr>
        <w:pStyle w:val="ListParagraph"/>
        <w:rPr>
          <w:rFonts w:asciiTheme="minorHAnsi" w:hAnsiTheme="minorHAnsi"/>
          <w:sz w:val="24"/>
          <w:szCs w:val="24"/>
        </w:rPr>
      </w:pPr>
    </w:p>
    <w:p w:rsidRPr="00537496" w:rsidR="00EE71C3" w:rsidP="61B41207" w:rsidRDefault="00587D15" w14:paraId="547D7C48" w14:textId="014B6E24">
      <w:pPr>
        <w:pStyle w:val="ListParagraph"/>
        <w:numPr>
          <w:ilvl w:val="0"/>
          <w:numId w:val="8"/>
        </w:numPr>
        <w:rPr>
          <w:rFonts w:ascii="Calibri" w:hAnsi="Calibri" w:eastAsia="Calibri" w:cs="Calibri" w:asciiTheme="minorAscii" w:hAnsiTheme="minorAscii" w:eastAsiaTheme="minorAscii" w:cstheme="minorAscii"/>
          <w:sz w:val="24"/>
          <w:szCs w:val="24"/>
        </w:rPr>
      </w:pPr>
      <w:r w:rsidRPr="61B41207" w:rsidR="61B41207">
        <w:rPr>
          <w:rFonts w:ascii="Calibri" w:hAnsi="Calibri" w:eastAsia="Calibri" w:cs="Calibri" w:asciiTheme="minorAscii" w:hAnsiTheme="minorAscii" w:eastAsiaTheme="minorAscii" w:cstheme="minorAscii"/>
          <w:sz w:val="24"/>
          <w:szCs w:val="24"/>
        </w:rPr>
        <w:t xml:space="preserve">Overview of </w:t>
      </w:r>
      <w:proofErr w:type="spellStart"/>
      <w:r w:rsidRPr="61B41207" w:rsidR="61B41207">
        <w:rPr>
          <w:rFonts w:ascii="Calibri" w:hAnsi="Calibri" w:eastAsia="Calibri" w:cs="Calibri" w:asciiTheme="minorAscii" w:hAnsiTheme="minorAscii" w:eastAsiaTheme="minorAscii" w:cstheme="minorAscii"/>
          <w:sz w:val="24"/>
          <w:szCs w:val="24"/>
        </w:rPr>
        <w:t>Baseyear</w:t>
      </w:r>
      <w:proofErr w:type="spellEnd"/>
      <w:r w:rsidRPr="61B41207" w:rsidR="61B41207">
        <w:rPr>
          <w:rFonts w:ascii="Calibri" w:hAnsi="Calibri" w:eastAsia="Calibri" w:cs="Calibri" w:asciiTheme="minorAscii" w:hAnsiTheme="minorAscii" w:eastAsiaTheme="minorAscii" w:cstheme="minorAscii"/>
          <w:sz w:val="24"/>
          <w:szCs w:val="24"/>
        </w:rPr>
        <w:t xml:space="preserve"> Options Chart </w:t>
      </w:r>
    </w:p>
    <w:p w:rsidRPr="00537496" w:rsidR="00537496" w:rsidP="00537496" w:rsidRDefault="00537496" w14:paraId="64A74D40" w14:textId="1081BA3A">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 xml:space="preserve">Theresa walked through the chart and input received to date.  Rationale for using 2011 for emissions and met base years included the readiness of the data, though would be out of date for some categories (ex:  oil and gas).  Neither 2012 and 2013 for emissions and met base years received support.  Using 2014 for both is underway by the West, though is not a representative </w:t>
      </w:r>
      <w:proofErr w:type="spellStart"/>
      <w:r w:rsidRPr="61B41207" w:rsidR="61B41207">
        <w:rPr>
          <w:rFonts w:ascii="Calibri" w:hAnsi="Calibri" w:eastAsia="Calibri" w:cs="Calibri" w:asciiTheme="minorAscii" w:hAnsiTheme="minorAscii" w:eastAsiaTheme="minorAscii" w:cstheme="minorAscii"/>
          <w:sz w:val="24"/>
          <w:szCs w:val="24"/>
        </w:rPr>
        <w:t>meteorologic</w:t>
      </w:r>
      <w:proofErr w:type="spellEnd"/>
      <w:r w:rsidRPr="61B41207" w:rsidR="61B41207">
        <w:rPr>
          <w:rFonts w:ascii="Calibri" w:hAnsi="Calibri" w:eastAsia="Calibri" w:cs="Calibri" w:asciiTheme="minorAscii" w:hAnsiTheme="minorAscii" w:eastAsiaTheme="minorAscii" w:cstheme="minorAscii"/>
          <w:sz w:val="24"/>
          <w:szCs w:val="24"/>
        </w:rPr>
        <w:t xml:space="preserve"> year for other regions.  </w:t>
      </w:r>
      <w:r w:rsidRPr="61B41207" w:rsidR="61B41207">
        <w:rPr>
          <w:rFonts w:ascii="Calibri" w:hAnsi="Calibri" w:eastAsia="Calibri" w:cs="Calibri" w:asciiTheme="minorAscii" w:hAnsiTheme="minorAscii" w:eastAsiaTheme="minorAscii" w:cstheme="minorAscii"/>
          <w:sz w:val="24"/>
          <w:szCs w:val="24"/>
        </w:rPr>
        <w:t xml:space="preserve">2015 for both could also work for the West.  Using 2014 for emissions and 2015 for met, EGUs and non-EGUs would mean starting as soon as possible.  2016 for both emissions and met may be desirable because of the significant emission reductions expected between 2014 and 2016.  </w:t>
      </w:r>
    </w:p>
    <w:p w:rsidR="00EE71C3" w:rsidP="00EE71C3" w:rsidRDefault="00EE71C3" w14:paraId="769CFDD2" w14:textId="77777777">
      <w:pPr>
        <w:pStyle w:val="ListParagraph"/>
        <w:rPr>
          <w:rFonts w:asciiTheme="minorHAnsi" w:hAnsiTheme="minorHAnsi"/>
          <w:sz w:val="24"/>
          <w:szCs w:val="24"/>
        </w:rPr>
      </w:pPr>
    </w:p>
    <w:p w:rsidRPr="00E51AD3" w:rsidR="00D613B5" w:rsidP="61B41207" w:rsidRDefault="00587D15" w14:paraId="74724029" w14:textId="6CC2D770" w14:noSpellErr="1">
      <w:pPr>
        <w:pStyle w:val="ListParagraph"/>
        <w:numPr>
          <w:ilvl w:val="0"/>
          <w:numId w:val="8"/>
        </w:numPr>
        <w:rPr>
          <w:rFonts w:ascii="Calibri" w:hAnsi="Calibri" w:eastAsia="Calibri" w:cs="Calibri" w:asciiTheme="minorAscii" w:hAnsiTheme="minorAscii" w:eastAsiaTheme="minorAscii" w:cstheme="minorAscii"/>
          <w:sz w:val="24"/>
          <w:szCs w:val="24"/>
        </w:rPr>
      </w:pPr>
      <w:r w:rsidRPr="61B41207" w:rsidR="61B41207">
        <w:rPr>
          <w:rFonts w:ascii="Calibri" w:hAnsi="Calibri" w:eastAsia="Calibri" w:cs="Calibri" w:asciiTheme="minorAscii" w:hAnsiTheme="minorAscii" w:eastAsiaTheme="minorAscii" w:cstheme="minorAscii"/>
          <w:sz w:val="24"/>
          <w:szCs w:val="24"/>
        </w:rPr>
        <w:t>Roundtable discussions</w:t>
      </w:r>
      <w:r w:rsidRPr="61B41207" w:rsidR="61B41207">
        <w:rPr>
          <w:rFonts w:ascii="Calibri" w:hAnsi="Calibri" w:eastAsia="Calibri" w:cs="Calibri" w:asciiTheme="minorAscii" w:hAnsiTheme="minorAscii" w:eastAsiaTheme="minorAscii" w:cstheme="minorAscii"/>
          <w:sz w:val="24"/>
          <w:szCs w:val="24"/>
        </w:rPr>
        <w:t xml:space="preserve"> of Options and next steps</w:t>
      </w:r>
    </w:p>
    <w:p w:rsidR="007C39A5" w:rsidP="00E51AD3" w:rsidRDefault="007C39A5" w14:paraId="1E468C32" w14:textId="53A3CECD" w14:noSpellErr="1">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 xml:space="preserve">OTC is </w:t>
      </w:r>
      <w:r w:rsidRPr="61B41207" w:rsidR="61B41207">
        <w:rPr>
          <w:rFonts w:ascii="Calibri" w:hAnsi="Calibri" w:eastAsia="Calibri" w:cs="Calibri" w:asciiTheme="minorAscii" w:hAnsiTheme="minorAscii" w:eastAsiaTheme="minorAscii" w:cstheme="minorAscii"/>
          <w:sz w:val="24"/>
          <w:szCs w:val="24"/>
        </w:rPr>
        <w:t>unified on using the 2011 NEI and updating EGUs</w:t>
      </w:r>
      <w:r w:rsidRPr="61B41207" w:rsidR="61B41207">
        <w:rPr>
          <w:rFonts w:ascii="Calibri" w:hAnsi="Calibri" w:eastAsia="Calibri" w:cs="Calibri" w:asciiTheme="minorAscii" w:hAnsiTheme="minorAscii" w:eastAsiaTheme="minorAscii" w:cstheme="minorAscii"/>
          <w:sz w:val="24"/>
          <w:szCs w:val="24"/>
        </w:rPr>
        <w:t xml:space="preserve">, then states can do their own updates for their SIPs.  Do plan to project for 2016.  </w:t>
      </w:r>
    </w:p>
    <w:p w:rsidR="00261BD4" w:rsidP="00E51AD3" w:rsidRDefault="00261BD4" w14:paraId="1A0A8655" w14:textId="77777777">
      <w:pPr>
        <w:pStyle w:val="ListParagraph"/>
        <w:ind w:left="1080"/>
        <w:rPr>
          <w:rFonts w:asciiTheme="minorHAnsi" w:hAnsiTheme="minorHAnsi"/>
          <w:sz w:val="24"/>
          <w:szCs w:val="24"/>
        </w:rPr>
      </w:pPr>
    </w:p>
    <w:p w:rsidR="00261BD4" w:rsidP="00E51AD3" w:rsidRDefault="00DC25D3" w14:paraId="20D025B3" w14:textId="77777777" w14:noSpellErr="1">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 xml:space="preserve">WRAP – if can get 2016 emissions done in a year, then maybe think about doing.  </w:t>
      </w:r>
    </w:p>
    <w:p w:rsidR="00261BD4" w:rsidP="00E51AD3" w:rsidRDefault="00261BD4" w14:paraId="637F1A9B" w14:textId="77777777">
      <w:pPr>
        <w:pStyle w:val="ListParagraph"/>
        <w:ind w:left="1080"/>
        <w:rPr>
          <w:rFonts w:asciiTheme="minorHAnsi" w:hAnsiTheme="minorHAnsi"/>
          <w:sz w:val="24"/>
          <w:szCs w:val="24"/>
        </w:rPr>
      </w:pPr>
    </w:p>
    <w:p w:rsidR="007C39A5" w:rsidP="00E51AD3" w:rsidRDefault="00DC25D3" w14:paraId="4413099D" w14:noSpellErr="1" w14:textId="62783F9D">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 xml:space="preserve">LADCO – for SIPs due in 2018, it seems </w:t>
      </w:r>
      <w:r w:rsidRPr="61B41207" w:rsidR="61B41207">
        <w:rPr>
          <w:rFonts w:ascii="Calibri" w:hAnsi="Calibri" w:eastAsia="Calibri" w:cs="Calibri" w:asciiTheme="minorAscii" w:hAnsiTheme="minorAscii" w:eastAsiaTheme="minorAscii" w:cstheme="minorAscii"/>
          <w:sz w:val="24"/>
          <w:szCs w:val="24"/>
        </w:rPr>
        <w:t xml:space="preserve">the base </w:t>
      </w:r>
      <w:r w:rsidRPr="61B41207" w:rsidR="61B41207">
        <w:rPr>
          <w:rFonts w:ascii="Calibri" w:hAnsi="Calibri" w:eastAsia="Calibri" w:cs="Calibri" w:asciiTheme="minorAscii" w:hAnsiTheme="minorAscii" w:eastAsiaTheme="minorAscii" w:cstheme="minorAscii"/>
          <w:sz w:val="24"/>
          <w:szCs w:val="24"/>
        </w:rPr>
        <w:t xml:space="preserve">year </w:t>
      </w:r>
      <w:r w:rsidRPr="61B41207" w:rsidR="61B41207">
        <w:rPr>
          <w:rFonts w:ascii="Calibri" w:hAnsi="Calibri" w:eastAsia="Calibri" w:cs="Calibri" w:asciiTheme="minorAscii" w:hAnsiTheme="minorAscii" w:eastAsiaTheme="minorAscii" w:cstheme="minorAscii"/>
          <w:sz w:val="24"/>
          <w:szCs w:val="24"/>
        </w:rPr>
        <w:t>will</w:t>
      </w:r>
      <w:r w:rsidRPr="61B41207" w:rsidR="61B41207">
        <w:rPr>
          <w:rFonts w:ascii="Calibri" w:hAnsi="Calibri" w:eastAsia="Calibri" w:cs="Calibri" w:asciiTheme="minorAscii" w:hAnsiTheme="minorAscii" w:eastAsiaTheme="minorAscii" w:cstheme="minorAscii"/>
          <w:sz w:val="24"/>
          <w:szCs w:val="24"/>
        </w:rPr>
        <w:t xml:space="preserve"> need to be</w:t>
      </w:r>
      <w:r w:rsidRPr="61B41207" w:rsidR="61B41207">
        <w:rPr>
          <w:rFonts w:ascii="Calibri" w:hAnsi="Calibri" w:eastAsia="Calibri" w:cs="Calibri" w:asciiTheme="minorAscii" w:hAnsiTheme="minorAscii" w:eastAsiaTheme="minorAscii" w:cstheme="minorAscii"/>
          <w:sz w:val="24"/>
          <w:szCs w:val="24"/>
        </w:rPr>
        <w:t xml:space="preserve"> 2011</w:t>
      </w:r>
      <w:r w:rsidRPr="61B41207" w:rsidR="61B41207">
        <w:rPr>
          <w:rFonts w:ascii="Calibri" w:hAnsi="Calibri" w:eastAsia="Calibri" w:cs="Calibri" w:asciiTheme="minorAscii" w:hAnsiTheme="minorAscii" w:eastAsiaTheme="minorAscii" w:cstheme="minorAscii"/>
          <w:sz w:val="24"/>
          <w:szCs w:val="24"/>
        </w:rPr>
        <w:t>; however, for 2015 Ozone Attainment Demonstration SIPs there’s time to use updated data.  There’s no “best” year for meteorology as 2015’s not good either.</w:t>
      </w:r>
    </w:p>
    <w:p w:rsidR="00261BD4" w:rsidP="00E51AD3" w:rsidRDefault="00261BD4" w14:paraId="1E2C9F53" w14:textId="77777777">
      <w:pPr>
        <w:pStyle w:val="ListParagraph"/>
        <w:ind w:left="1080"/>
        <w:rPr>
          <w:rFonts w:asciiTheme="minorHAnsi" w:hAnsiTheme="minorHAnsi"/>
          <w:sz w:val="24"/>
          <w:szCs w:val="24"/>
        </w:rPr>
      </w:pPr>
    </w:p>
    <w:p w:rsidR="007C39A5" w:rsidP="00E51AD3" w:rsidRDefault="007C39A5" w14:paraId="22501C21" w14:textId="77777777" w14:noSpellErr="1">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OTC – perhaps can rely on a 2011 base year, but conduct episodic modeling runs that would include updated data?</w:t>
      </w:r>
    </w:p>
    <w:p w:rsidR="61B41207" w:rsidP="61B41207" w:rsidRDefault="61B41207" w14:noSpellErr="1" w14:paraId="582E4F12" w14:textId="1603EC01">
      <w:pPr>
        <w:pStyle w:val="ListParagraph"/>
        <w:ind w:left="1080"/>
      </w:pPr>
    </w:p>
    <w:p w:rsidR="00261BD4" w:rsidP="00E51AD3" w:rsidRDefault="007C39A5" w14:paraId="1BA4A5AE" w14:noSpellErr="1" w14:textId="0A5F2F09">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 xml:space="preserve">EPA – ambient data needs to consider representative data – the newer, the better.  If emissions inventories have been updated, but the current air quality is not representative, it may be better to work from the older EI.  Methodology changes also impact emissions numbers – there were methodology improvements for the 2014 NEI that were not reflected in the 2011 NEI.  </w:t>
      </w:r>
      <w:r w:rsidRPr="61B41207" w:rsidR="61B41207">
        <w:rPr>
          <w:rFonts w:ascii="Calibri" w:hAnsi="Calibri" w:eastAsia="Calibri" w:cs="Calibri" w:asciiTheme="minorAscii" w:hAnsiTheme="minorAscii" w:eastAsiaTheme="minorAscii" w:cstheme="minorAscii"/>
          <w:sz w:val="24"/>
          <w:szCs w:val="24"/>
        </w:rPr>
        <w:t xml:space="preserve">WRAP agreed, citing oil and gas changes from 2011 to 2014 because of knowledge gained, resulting in improved </w:t>
      </w:r>
      <w:r w:rsidRPr="61B41207" w:rsidR="61B41207">
        <w:rPr>
          <w:rFonts w:ascii="Calibri" w:hAnsi="Calibri" w:eastAsia="Calibri" w:cs="Calibri" w:asciiTheme="minorAscii" w:hAnsiTheme="minorAscii" w:eastAsiaTheme="minorAscii" w:cstheme="minorAscii"/>
          <w:sz w:val="24"/>
          <w:szCs w:val="24"/>
        </w:rPr>
        <w:t>metho</w:t>
      </w:r>
      <w:r w:rsidRPr="61B41207" w:rsidR="61B41207">
        <w:rPr>
          <w:rFonts w:ascii="Calibri" w:hAnsi="Calibri" w:eastAsia="Calibri" w:cs="Calibri" w:asciiTheme="minorAscii" w:hAnsiTheme="minorAscii" w:eastAsiaTheme="minorAscii" w:cstheme="minorAscii"/>
          <w:sz w:val="24"/>
          <w:szCs w:val="24"/>
        </w:rPr>
        <w:t>do</w:t>
      </w:r>
      <w:r w:rsidRPr="61B41207" w:rsidR="61B41207">
        <w:rPr>
          <w:rFonts w:ascii="Calibri" w:hAnsi="Calibri" w:eastAsia="Calibri" w:cs="Calibri" w:asciiTheme="minorAscii" w:hAnsiTheme="minorAscii" w:eastAsiaTheme="minorAscii" w:cstheme="minorAscii"/>
          <w:sz w:val="24"/>
          <w:szCs w:val="24"/>
        </w:rPr>
        <w:t>lo</w:t>
      </w:r>
      <w:r w:rsidRPr="61B41207" w:rsidR="61B41207">
        <w:rPr>
          <w:rFonts w:ascii="Calibri" w:hAnsi="Calibri" w:eastAsia="Calibri" w:cs="Calibri" w:asciiTheme="minorAscii" w:hAnsiTheme="minorAscii" w:eastAsiaTheme="minorAscii" w:cstheme="minorAscii"/>
          <w:sz w:val="24"/>
          <w:szCs w:val="24"/>
        </w:rPr>
        <w:t>gies</w:t>
      </w:r>
      <w:r w:rsidRPr="61B41207" w:rsidR="61B41207">
        <w:rPr>
          <w:rFonts w:ascii="Calibri" w:hAnsi="Calibri" w:eastAsia="Calibri" w:cs="Calibri" w:asciiTheme="minorAscii" w:hAnsiTheme="minorAscii" w:eastAsiaTheme="minorAscii" w:cstheme="minorAscii"/>
          <w:sz w:val="24"/>
          <w:szCs w:val="24"/>
        </w:rPr>
        <w:t xml:space="preserve"> (though not perfect).  Julie mentioned it would be helpful to know what improvements EPA made, including what pollutants were impacted and the % of changes.  It was agreed EPA would prepare a summary for the next call.</w:t>
      </w:r>
    </w:p>
    <w:p w:rsidR="00261BD4" w:rsidP="00E51AD3" w:rsidRDefault="00261BD4" w14:paraId="30E90606" w14:textId="77777777">
      <w:pPr>
        <w:pStyle w:val="ListParagraph"/>
        <w:ind w:left="1080"/>
        <w:rPr>
          <w:rFonts w:asciiTheme="minorHAnsi" w:hAnsiTheme="minorHAnsi"/>
          <w:sz w:val="24"/>
          <w:szCs w:val="24"/>
        </w:rPr>
      </w:pPr>
    </w:p>
    <w:p w:rsidR="00261BD4" w:rsidP="00E51AD3" w:rsidRDefault="00261BD4" w14:paraId="7698E9F8" w14:noSpellErr="1" w14:textId="7C9AEC99">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 xml:space="preserve">SESARM – 2011 may serve the purpose for regional haze and may be the best starting point for 2015 Ozone SIPs.  Jim (GA) agreed, as undertaking a non-NEI </w:t>
      </w:r>
      <w:r w:rsidRPr="61B41207" w:rsidR="61B41207">
        <w:rPr>
          <w:rFonts w:ascii="Calibri" w:hAnsi="Calibri" w:eastAsia="Calibri" w:cs="Calibri" w:asciiTheme="minorAscii" w:hAnsiTheme="minorAscii" w:eastAsiaTheme="minorAscii" w:cstheme="minorAscii"/>
          <w:sz w:val="24"/>
          <w:szCs w:val="24"/>
        </w:rPr>
        <w:t>inventory is a major undertaking.  Also agree it’s not a good idea to mix different NEI and met years</w:t>
      </w:r>
      <w:r w:rsidRPr="61B41207" w:rsidR="61B41207">
        <w:rPr>
          <w:rFonts w:ascii="Calibri" w:hAnsi="Calibri" w:eastAsia="Calibri" w:cs="Calibri" w:asciiTheme="minorAscii" w:hAnsiTheme="minorAscii" w:eastAsiaTheme="minorAscii" w:cstheme="minorAscii"/>
          <w:sz w:val="24"/>
          <w:szCs w:val="24"/>
        </w:rPr>
        <w:t>;</w:t>
      </w:r>
      <w:r w:rsidRPr="61B41207" w:rsidR="61B41207">
        <w:rPr>
          <w:rFonts w:ascii="Calibri" w:hAnsi="Calibri" w:eastAsia="Calibri" w:cs="Calibri" w:asciiTheme="minorAscii" w:hAnsiTheme="minorAscii" w:eastAsiaTheme="minorAscii" w:cstheme="minorAscii"/>
          <w:sz w:val="24"/>
          <w:szCs w:val="24"/>
        </w:rPr>
        <w:t xml:space="preserve"> for one reason model performance needs to be done </w:t>
      </w:r>
      <w:r w:rsidRPr="61B41207" w:rsidR="61B41207">
        <w:rPr>
          <w:rFonts w:ascii="Calibri" w:hAnsi="Calibri" w:eastAsia="Calibri" w:cs="Calibri" w:asciiTheme="minorAscii" w:hAnsiTheme="minorAscii" w:eastAsiaTheme="minorAscii" w:cstheme="minorAscii"/>
          <w:sz w:val="24"/>
          <w:szCs w:val="24"/>
        </w:rPr>
        <w:t>using</w:t>
      </w:r>
      <w:r w:rsidRPr="61B41207" w:rsidR="61B41207">
        <w:rPr>
          <w:rFonts w:ascii="Calibri" w:hAnsi="Calibri" w:eastAsia="Calibri" w:cs="Calibri" w:asciiTheme="minorAscii" w:hAnsiTheme="minorAscii" w:eastAsiaTheme="minorAscii" w:cstheme="minorAscii"/>
          <w:sz w:val="24"/>
          <w:szCs w:val="24"/>
        </w:rPr>
        <w:t xml:space="preserve"> the same for both, doubling the amount of work that would need to be done.</w:t>
      </w:r>
    </w:p>
    <w:p w:rsidR="00261BD4" w:rsidP="00E51AD3" w:rsidRDefault="00261BD4" w14:paraId="3784277B" w14:textId="77777777">
      <w:pPr>
        <w:pStyle w:val="ListParagraph"/>
        <w:ind w:left="1080"/>
        <w:rPr>
          <w:rFonts w:asciiTheme="minorHAnsi" w:hAnsiTheme="minorHAnsi"/>
          <w:sz w:val="24"/>
          <w:szCs w:val="24"/>
        </w:rPr>
      </w:pPr>
    </w:p>
    <w:p w:rsidR="00261BD4" w:rsidP="00E51AD3" w:rsidRDefault="00261BD4" w14:paraId="5A964F08" w14:noSpellErr="1" w14:textId="7F16FFB1">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Norm – at this point, EPA is planning on a 2015 Ozone Transport modeling platform using 2011 to be done by the end of this year, but it’s not necessarily what will be used for a</w:t>
      </w:r>
      <w:r w:rsidRPr="61B41207" w:rsidR="61B41207">
        <w:rPr>
          <w:rFonts w:ascii="Calibri" w:hAnsi="Calibri" w:eastAsia="Calibri" w:cs="Calibri" w:asciiTheme="minorAscii" w:hAnsiTheme="minorAscii" w:eastAsiaTheme="minorAscii" w:cstheme="minorAscii"/>
          <w:sz w:val="24"/>
          <w:szCs w:val="24"/>
        </w:rPr>
        <w:t xml:space="preserve"> transport FIP.  What future year is still open for discussion and may be a topic for the June meeting.</w:t>
      </w:r>
    </w:p>
    <w:p w:rsidR="00261BD4" w:rsidP="00E51AD3" w:rsidRDefault="00261BD4" w14:paraId="3AD259B8" w14:textId="77777777">
      <w:pPr>
        <w:pStyle w:val="ListParagraph"/>
        <w:ind w:left="1080"/>
        <w:rPr>
          <w:rFonts w:asciiTheme="minorHAnsi" w:hAnsiTheme="minorHAnsi"/>
          <w:sz w:val="24"/>
          <w:szCs w:val="24"/>
        </w:rPr>
      </w:pPr>
    </w:p>
    <w:p w:rsidR="00261BD4" w:rsidP="00E51AD3" w:rsidRDefault="00261BD4" w14:paraId="5911BB63" w14:textId="46190265">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 xml:space="preserve">Julie (MARAMA) </w:t>
      </w:r>
      <w:r w:rsidRPr="61B41207" w:rsidR="61B41207">
        <w:rPr>
          <w:rFonts w:ascii="Calibri" w:hAnsi="Calibri" w:eastAsia="Calibri" w:cs="Calibri" w:asciiTheme="minorAscii" w:hAnsiTheme="minorAscii" w:eastAsiaTheme="minorAscii" w:cstheme="minorAscii"/>
          <w:sz w:val="24"/>
          <w:szCs w:val="24"/>
        </w:rPr>
        <w:t>suggested IPM is not needed since ERTAC now exists – Theresa (</w:t>
      </w:r>
      <w:proofErr w:type="spellStart"/>
      <w:r w:rsidRPr="61B41207" w:rsidR="61B41207">
        <w:rPr>
          <w:rFonts w:ascii="Calibri" w:hAnsi="Calibri" w:eastAsia="Calibri" w:cs="Calibri" w:asciiTheme="minorAscii" w:hAnsiTheme="minorAscii" w:eastAsiaTheme="minorAscii" w:cstheme="minorAscii"/>
          <w:sz w:val="24"/>
          <w:szCs w:val="24"/>
        </w:rPr>
        <w:t>CenSARA</w:t>
      </w:r>
      <w:proofErr w:type="spellEnd"/>
      <w:r w:rsidRPr="61B41207" w:rsidR="61B41207">
        <w:rPr>
          <w:rFonts w:ascii="Calibri" w:hAnsi="Calibri" w:eastAsia="Calibri" w:cs="Calibri" w:asciiTheme="minorAscii" w:hAnsiTheme="minorAscii" w:eastAsiaTheme="minorAscii" w:cstheme="minorAscii"/>
          <w:sz w:val="24"/>
          <w:szCs w:val="24"/>
        </w:rPr>
        <w:t>) added discussing how the two can be merged/complemented, etc., should be a topic for June.</w:t>
      </w:r>
    </w:p>
    <w:p w:rsidR="00261BD4" w:rsidP="00E51AD3" w:rsidRDefault="00261BD4" w14:paraId="084719DE" w14:textId="77777777">
      <w:pPr>
        <w:pStyle w:val="ListParagraph"/>
        <w:ind w:left="1080"/>
        <w:rPr>
          <w:rFonts w:asciiTheme="minorHAnsi" w:hAnsiTheme="minorHAnsi"/>
          <w:sz w:val="24"/>
          <w:szCs w:val="24"/>
        </w:rPr>
      </w:pPr>
    </w:p>
    <w:p w:rsidR="00261BD4" w:rsidP="00E51AD3" w:rsidRDefault="00261BD4" w14:paraId="71A2D8E1" w14:textId="19C39D7D" w14:noSpellErr="1">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Tom (WRAP) noted stratospheric intrusion is something that needs to be included somehow in model performance.</w:t>
      </w:r>
    </w:p>
    <w:p w:rsidR="00261BD4" w:rsidP="00E51AD3" w:rsidRDefault="00261BD4" w14:paraId="656CCB64" w14:textId="77777777">
      <w:pPr>
        <w:pStyle w:val="ListParagraph"/>
        <w:ind w:left="1080"/>
        <w:rPr>
          <w:rFonts w:asciiTheme="minorHAnsi" w:hAnsiTheme="minorHAnsi"/>
          <w:sz w:val="24"/>
          <w:szCs w:val="24"/>
        </w:rPr>
      </w:pPr>
    </w:p>
    <w:p w:rsidR="00261BD4" w:rsidP="00E51AD3" w:rsidRDefault="00261BD4" w14:paraId="007D75F1" w14:textId="0199C8D9" w14:noSpellErr="1">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Mark (LADCO) noted it’s usually meteorology that “wags the tail” with emissions inventories needing to be ad</w:t>
      </w:r>
      <w:r w:rsidRPr="61B41207" w:rsidR="61B41207">
        <w:rPr>
          <w:rFonts w:ascii="Calibri" w:hAnsi="Calibri" w:eastAsia="Calibri" w:cs="Calibri" w:asciiTheme="minorAscii" w:hAnsiTheme="minorAscii" w:eastAsiaTheme="minorAscii" w:cstheme="minorAscii"/>
          <w:sz w:val="24"/>
          <w:szCs w:val="24"/>
        </w:rPr>
        <w:t>justed to fit the best met year (ex:  will have 2014 NEI, but if 2016 is best met year, emissions will be projected to 2016).</w:t>
      </w:r>
    </w:p>
    <w:p w:rsidR="00886C9B" w:rsidP="00E51AD3" w:rsidRDefault="00886C9B" w14:paraId="7DD57942" w14:textId="77777777">
      <w:pPr>
        <w:pStyle w:val="ListParagraph"/>
        <w:ind w:left="1080"/>
        <w:rPr>
          <w:rFonts w:asciiTheme="minorHAnsi" w:hAnsiTheme="minorHAnsi"/>
          <w:sz w:val="24"/>
          <w:szCs w:val="24"/>
        </w:rPr>
      </w:pPr>
    </w:p>
    <w:p w:rsidRPr="00E51AD3" w:rsidR="00E51AD3" w:rsidP="00E51AD3" w:rsidRDefault="00886C9B" w14:paraId="033DE480" w14:noSpellErr="1" w14:textId="13E6BB50">
      <w:pPr>
        <w:pStyle w:val="ListParagraph"/>
        <w:ind w:left="108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 xml:space="preserve">Jim (Texas) – will EPA </w:t>
      </w:r>
      <w:r w:rsidRPr="61B41207" w:rsidR="61B41207">
        <w:rPr>
          <w:rFonts w:ascii="Calibri" w:hAnsi="Calibri" w:eastAsia="Calibri" w:cs="Calibri" w:asciiTheme="minorAscii" w:hAnsiTheme="minorAscii" w:eastAsiaTheme="minorAscii" w:cstheme="minorAscii"/>
          <w:sz w:val="24"/>
          <w:szCs w:val="24"/>
        </w:rPr>
        <w:t xml:space="preserve">use </w:t>
      </w:r>
      <w:r w:rsidRPr="61B41207" w:rsidR="61B41207">
        <w:rPr>
          <w:rFonts w:ascii="Calibri" w:hAnsi="Calibri" w:eastAsia="Calibri" w:cs="Calibri" w:asciiTheme="minorAscii" w:hAnsiTheme="minorAscii" w:eastAsiaTheme="minorAscii" w:cstheme="minorAscii"/>
          <w:sz w:val="24"/>
          <w:szCs w:val="24"/>
        </w:rPr>
        <w:t xml:space="preserve">the modeling </w:t>
      </w:r>
      <w:r w:rsidRPr="61B41207" w:rsidR="61B41207">
        <w:rPr>
          <w:rFonts w:ascii="Calibri" w:hAnsi="Calibri" w:eastAsia="Calibri" w:cs="Calibri" w:asciiTheme="minorAscii" w:hAnsiTheme="minorAscii" w:eastAsiaTheme="minorAscii" w:cstheme="minorAscii"/>
          <w:sz w:val="24"/>
          <w:szCs w:val="24"/>
        </w:rPr>
        <w:t xml:space="preserve">for the PM2.5 annual standard transport work?  Jeb </w:t>
      </w:r>
      <w:r w:rsidRPr="61B41207" w:rsidR="61B41207">
        <w:rPr>
          <w:rFonts w:ascii="Calibri" w:hAnsi="Calibri" w:eastAsia="Calibri" w:cs="Calibri" w:asciiTheme="minorAscii" w:hAnsiTheme="minorAscii" w:eastAsiaTheme="minorAscii" w:cstheme="minorAscii"/>
          <w:sz w:val="24"/>
          <w:szCs w:val="24"/>
        </w:rPr>
        <w:t xml:space="preserve">(CAMD) </w:t>
      </w:r>
      <w:r w:rsidRPr="61B41207" w:rsidR="61B41207">
        <w:rPr>
          <w:rFonts w:ascii="Calibri" w:hAnsi="Calibri" w:eastAsia="Calibri" w:cs="Calibri" w:asciiTheme="minorAscii" w:hAnsiTheme="minorAscii" w:eastAsiaTheme="minorAscii" w:cstheme="minorAscii"/>
          <w:sz w:val="24"/>
          <w:szCs w:val="24"/>
        </w:rPr>
        <w:t>– CSAPR looked at only ozone season NOx</w:t>
      </w:r>
      <w:r w:rsidRPr="61B41207" w:rsidR="61B41207">
        <w:rPr>
          <w:rFonts w:ascii="Calibri" w:hAnsi="Calibri" w:eastAsia="Calibri" w:cs="Calibri" w:asciiTheme="minorAscii" w:hAnsiTheme="minorAscii" w:eastAsiaTheme="minorAscii" w:cstheme="minorAscii"/>
          <w:sz w:val="24"/>
          <w:szCs w:val="24"/>
        </w:rPr>
        <w:t>; have not looked at more broadly for transport ye</w:t>
      </w:r>
      <w:r w:rsidRPr="61B41207" w:rsidR="61B41207">
        <w:rPr>
          <w:rFonts w:ascii="Calibri" w:hAnsi="Calibri" w:eastAsia="Calibri" w:cs="Calibri" w:asciiTheme="minorAscii" w:hAnsiTheme="minorAscii" w:eastAsiaTheme="minorAscii" w:cstheme="minorAscii"/>
          <w:sz w:val="24"/>
          <w:szCs w:val="24"/>
        </w:rPr>
        <w:t>t.</w:t>
      </w:r>
    </w:p>
    <w:p w:rsidR="00EE71C3" w:rsidP="00EE71C3" w:rsidRDefault="00EE71C3" w14:paraId="0D2BD562" w14:textId="77777777">
      <w:pPr>
        <w:rPr>
          <w:rFonts w:asciiTheme="minorHAnsi" w:hAnsiTheme="minorHAnsi"/>
          <w:sz w:val="24"/>
          <w:szCs w:val="24"/>
        </w:rPr>
      </w:pPr>
    </w:p>
    <w:p w:rsidR="00EE71C3" w:rsidP="007C2552" w:rsidRDefault="00EE71C3" w14:paraId="65A5C62C" w14:textId="4E328435" w14:noSpellErr="1">
      <w:pPr>
        <w:ind w:left="720"/>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 xml:space="preserve">4) </w:t>
      </w:r>
      <w:r w:rsidRPr="61B41207" w:rsidR="61B41207">
        <w:rPr>
          <w:rFonts w:ascii="Calibri" w:hAnsi="Calibri" w:eastAsia="Calibri" w:cs="Calibri" w:asciiTheme="minorAscii" w:hAnsiTheme="minorAscii" w:eastAsiaTheme="minorAscii" w:cstheme="minorAscii"/>
          <w:sz w:val="24"/>
          <w:szCs w:val="24"/>
        </w:rPr>
        <w:t xml:space="preserve">Planning for </w:t>
      </w:r>
      <w:r w:rsidRPr="61B41207" w:rsidR="61B41207">
        <w:rPr>
          <w:rFonts w:ascii="Calibri" w:hAnsi="Calibri" w:eastAsia="Calibri" w:cs="Calibri" w:asciiTheme="minorAscii" w:hAnsiTheme="minorAscii" w:eastAsiaTheme="minorAscii" w:cstheme="minorAscii"/>
          <w:sz w:val="24"/>
          <w:szCs w:val="24"/>
        </w:rPr>
        <w:t xml:space="preserve">the </w:t>
      </w:r>
      <w:r w:rsidRPr="61B41207" w:rsidR="61B41207">
        <w:rPr>
          <w:rFonts w:ascii="Calibri" w:hAnsi="Calibri" w:eastAsia="Calibri" w:cs="Calibri" w:asciiTheme="minorAscii" w:hAnsiTheme="minorAscii" w:eastAsiaTheme="minorAscii" w:cstheme="minorAscii"/>
          <w:sz w:val="24"/>
          <w:szCs w:val="24"/>
        </w:rPr>
        <w:t>June 20</w:t>
      </w:r>
      <w:r w:rsidRPr="61B41207" w:rsidR="61B41207">
        <w:rPr>
          <w:rFonts w:ascii="Calibri" w:hAnsi="Calibri" w:eastAsia="Calibri" w:cs="Calibri" w:asciiTheme="minorAscii" w:hAnsiTheme="minorAscii" w:eastAsiaTheme="minorAscii" w:cstheme="minorAscii"/>
          <w:sz w:val="24"/>
          <w:szCs w:val="24"/>
          <w:vertAlign w:val="superscript"/>
        </w:rPr>
        <w:t>th</w:t>
      </w:r>
      <w:r w:rsidRPr="61B41207" w:rsidR="61B41207">
        <w:rPr>
          <w:rFonts w:ascii="Calibri" w:hAnsi="Calibri" w:eastAsia="Calibri" w:cs="Calibri" w:asciiTheme="minorAscii" w:hAnsiTheme="minorAscii" w:eastAsiaTheme="minorAscii" w:cstheme="minorAscii"/>
          <w:sz w:val="24"/>
          <w:szCs w:val="24"/>
        </w:rPr>
        <w:t xml:space="preserve"> meeting</w:t>
      </w:r>
      <w:r w:rsidRPr="61B41207" w:rsidR="61B41207">
        <w:rPr>
          <w:rFonts w:ascii="Calibri" w:hAnsi="Calibri" w:eastAsia="Calibri" w:cs="Calibri" w:asciiTheme="minorAscii" w:hAnsiTheme="minorAscii" w:eastAsiaTheme="minorAscii" w:cstheme="minorAscii"/>
          <w:sz w:val="24"/>
          <w:szCs w:val="24"/>
        </w:rPr>
        <w:t xml:space="preserve"> in St. Louis</w:t>
      </w:r>
    </w:p>
    <w:p w:rsidR="00806DD4" w:rsidP="61B41207" w:rsidRDefault="007C39A5" w14:paraId="48541A68" w14:textId="7698C9E7" w14:noSpellErr="1">
      <w:pPr>
        <w:ind w:left="1440" w:firstLine="0"/>
        <w:rPr>
          <w:rFonts w:asciiTheme="minorHAnsi" w:hAnsiTheme="minorHAnsi"/>
          <w:sz w:val="24"/>
          <w:szCs w:val="24"/>
        </w:rPr>
      </w:pPr>
      <w:r w:rsidRPr="61B41207">
        <w:rPr>
          <w:rFonts w:ascii="Calibri" w:hAnsi="Calibri" w:eastAsia="Calibri" w:cs="Calibri" w:asciiTheme="minorAscii" w:hAnsiTheme="minorAscii" w:eastAsiaTheme="minorAscii" w:cstheme="minorAscii"/>
          <w:sz w:val="24"/>
          <w:szCs w:val="24"/>
        </w:rPr>
        <w:t xml:space="preserve">If interested in participating in the planning group, contact Theresa, who’ll be </w:t>
      </w:r>
      <w:r>
        <w:rPr>
          <w:rFonts w:asciiTheme="minorHAnsi" w:hAnsiTheme="minorHAnsi"/>
          <w:sz w:val="24"/>
          <w:szCs w:val="24"/>
        </w:rPr>
        <w:tab/>
      </w:r>
      <w:r w:rsidRPr="61B41207">
        <w:rPr>
          <w:rFonts w:ascii="Calibri" w:hAnsi="Calibri" w:eastAsia="Calibri" w:cs="Calibri" w:asciiTheme="minorAscii" w:hAnsiTheme="minorAscii" w:eastAsiaTheme="minorAscii" w:cstheme="minorAscii"/>
          <w:sz w:val="24"/>
          <w:szCs w:val="24"/>
        </w:rPr>
        <w:t xml:space="preserve">setting up a call for the next couple of weeks. </w:t>
      </w:r>
      <w:bookmarkStart w:name="_GoBack" w:id="0"/>
      <w:bookmarkEnd w:id="0"/>
    </w:p>
    <w:p w:rsidR="007C39A5" w:rsidP="007C39A5" w:rsidRDefault="007C39A5" w14:paraId="027250F7" w14:textId="77777777">
      <w:pPr>
        <w:ind w:left="720"/>
        <w:rPr>
          <w:rFonts w:asciiTheme="minorHAnsi" w:hAnsiTheme="minorHAnsi"/>
          <w:sz w:val="24"/>
          <w:szCs w:val="24"/>
        </w:rPr>
      </w:pPr>
    </w:p>
    <w:p w:rsidRPr="007C39A5" w:rsidR="00700949" w:rsidP="61B41207" w:rsidRDefault="00D76C26" w14:paraId="2BF156C4" w14:textId="5C4F3427" w14:noSpellErr="1">
      <w:pPr>
        <w:pStyle w:val="ListParagraph"/>
        <w:numPr>
          <w:ilvl w:val="0"/>
          <w:numId w:val="8"/>
        </w:numPr>
        <w:jc w:val="both"/>
        <w:rPr>
          <w:rFonts w:ascii="Calibri" w:hAnsi="Calibri" w:eastAsia="Calibri" w:cs="Calibri" w:asciiTheme="minorAscii" w:hAnsiTheme="minorAscii" w:eastAsiaTheme="minorAscii" w:cstheme="minorAscii"/>
          <w:sz w:val="24"/>
          <w:szCs w:val="24"/>
        </w:rPr>
      </w:pPr>
      <w:r w:rsidRPr="61B41207" w:rsidR="61B41207">
        <w:rPr>
          <w:rFonts w:ascii="Calibri" w:hAnsi="Calibri" w:eastAsia="Calibri" w:cs="Calibri" w:asciiTheme="minorAscii" w:hAnsiTheme="minorAscii" w:eastAsiaTheme="minorAscii" w:cstheme="minorAscii"/>
          <w:sz w:val="24"/>
          <w:szCs w:val="24"/>
        </w:rPr>
        <w:t xml:space="preserve">Next </w:t>
      </w:r>
      <w:r w:rsidRPr="61B41207" w:rsidR="61B41207">
        <w:rPr>
          <w:rFonts w:ascii="Calibri" w:hAnsi="Calibri" w:eastAsia="Calibri" w:cs="Calibri" w:asciiTheme="minorAscii" w:hAnsiTheme="minorAscii" w:eastAsiaTheme="minorAscii" w:cstheme="minorAscii"/>
          <w:sz w:val="24"/>
          <w:szCs w:val="24"/>
        </w:rPr>
        <w:t>call</w:t>
      </w:r>
    </w:p>
    <w:p w:rsidRPr="007C39A5" w:rsidR="007C39A5" w:rsidP="007C39A5" w:rsidRDefault="007C39A5" w14:paraId="7FAAF392" w14:noSpellErr="1" w14:textId="74F6602F">
      <w:pPr>
        <w:pStyle w:val="ListParagraph"/>
        <w:ind w:left="1080"/>
        <w:jc w:val="both"/>
        <w:rPr>
          <w:rFonts w:asciiTheme="minorHAnsi" w:hAnsiTheme="minorHAnsi"/>
          <w:sz w:val="24"/>
          <w:szCs w:val="24"/>
        </w:rPr>
      </w:pPr>
      <w:r w:rsidRPr="61B41207" w:rsidR="61B41207">
        <w:rPr>
          <w:rFonts w:ascii="Calibri" w:hAnsi="Calibri" w:eastAsia="Calibri" w:cs="Calibri" w:asciiTheme="minorAscii" w:hAnsiTheme="minorAscii" w:eastAsiaTheme="minorAscii" w:cstheme="minorAscii"/>
          <w:sz w:val="24"/>
          <w:szCs w:val="24"/>
        </w:rPr>
        <w:t>Sometime in mid-</w:t>
      </w:r>
      <w:r w:rsidRPr="61B41207" w:rsidR="61B41207">
        <w:rPr>
          <w:rFonts w:ascii="Calibri" w:hAnsi="Calibri" w:eastAsia="Calibri" w:cs="Calibri" w:asciiTheme="minorAscii" w:hAnsiTheme="minorAscii" w:eastAsiaTheme="minorAscii" w:cstheme="minorAscii"/>
          <w:sz w:val="24"/>
          <w:szCs w:val="24"/>
        </w:rPr>
        <w:t>to-</w:t>
      </w:r>
      <w:r w:rsidRPr="61B41207" w:rsidR="61B41207">
        <w:rPr>
          <w:rFonts w:ascii="Calibri" w:hAnsi="Calibri" w:eastAsia="Calibri" w:cs="Calibri" w:asciiTheme="minorAscii" w:hAnsiTheme="minorAscii" w:eastAsiaTheme="minorAscii" w:cstheme="minorAscii"/>
          <w:sz w:val="24"/>
          <w:szCs w:val="24"/>
        </w:rPr>
        <w:t>late May to allow EPA t</w:t>
      </w:r>
      <w:r w:rsidRPr="61B41207" w:rsidR="61B41207">
        <w:rPr>
          <w:rFonts w:ascii="Calibri" w:hAnsi="Calibri" w:eastAsia="Calibri" w:cs="Calibri" w:asciiTheme="minorAscii" w:hAnsiTheme="minorAscii" w:eastAsiaTheme="minorAscii" w:cstheme="minorAscii"/>
          <w:sz w:val="24"/>
          <w:szCs w:val="24"/>
        </w:rPr>
        <w:t>ime t</w:t>
      </w:r>
      <w:r w:rsidRPr="61B41207" w:rsidR="61B41207">
        <w:rPr>
          <w:rFonts w:ascii="Calibri" w:hAnsi="Calibri" w:eastAsia="Calibri" w:cs="Calibri" w:asciiTheme="minorAscii" w:hAnsiTheme="minorAscii" w:eastAsiaTheme="minorAscii" w:cstheme="minorAscii"/>
          <w:sz w:val="24"/>
          <w:szCs w:val="24"/>
        </w:rPr>
        <w:t xml:space="preserve">o prepare </w:t>
      </w:r>
      <w:r w:rsidRPr="61B41207" w:rsidR="61B41207">
        <w:rPr>
          <w:rFonts w:ascii="Calibri" w:hAnsi="Calibri" w:eastAsia="Calibri" w:cs="Calibri" w:asciiTheme="minorAscii" w:hAnsiTheme="minorAscii" w:eastAsiaTheme="minorAscii" w:cstheme="minorAscii"/>
          <w:sz w:val="24"/>
          <w:szCs w:val="24"/>
        </w:rPr>
        <w:t>for the</w:t>
      </w:r>
      <w:r w:rsidRPr="61B41207" w:rsidR="61B41207">
        <w:rPr>
          <w:rFonts w:ascii="Calibri" w:hAnsi="Calibri" w:eastAsia="Calibri" w:cs="Calibri" w:asciiTheme="minorAscii" w:hAnsiTheme="minorAscii" w:eastAsiaTheme="minorAscii" w:cstheme="minorAscii"/>
          <w:sz w:val="24"/>
          <w:szCs w:val="24"/>
        </w:rPr>
        <w:t xml:space="preserve"> methodology changes </w:t>
      </w:r>
      <w:r w:rsidRPr="61B41207" w:rsidR="61B41207">
        <w:rPr>
          <w:rFonts w:ascii="Calibri" w:hAnsi="Calibri" w:eastAsia="Calibri" w:cs="Calibri" w:asciiTheme="minorAscii" w:hAnsiTheme="minorAscii" w:eastAsiaTheme="minorAscii" w:cstheme="minorAscii"/>
          <w:sz w:val="24"/>
          <w:szCs w:val="24"/>
        </w:rPr>
        <w:t>topic</w:t>
      </w:r>
      <w:r w:rsidRPr="61B41207" w:rsidR="61B41207">
        <w:rPr>
          <w:rFonts w:ascii="Calibri" w:hAnsi="Calibri" w:eastAsia="Calibri" w:cs="Calibri" w:asciiTheme="minorAscii" w:hAnsiTheme="minorAscii" w:eastAsiaTheme="minorAscii" w:cstheme="minorAscii"/>
          <w:sz w:val="24"/>
          <w:szCs w:val="24"/>
        </w:rPr>
        <w:t>.</w:t>
      </w:r>
    </w:p>
    <w:p w:rsidRPr="005F2BAC" w:rsidR="00E67844" w:rsidRDefault="00E67844" w14:paraId="636C11BE" w14:textId="77777777">
      <w:pPr>
        <w:rPr>
          <w:rFonts w:asciiTheme="minorHAnsi" w:hAnsiTheme="minorHAnsi"/>
          <w:sz w:val="24"/>
          <w:szCs w:val="24"/>
        </w:rPr>
      </w:pPr>
    </w:p>
    <w:sectPr w:rsidRPr="005F2BAC" w:rsidR="00E67844" w:rsidSect="00E6784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10C4F"/>
    <w:multiLevelType w:val="hybridMultilevel"/>
    <w:tmpl w:val="EA40430E"/>
    <w:lvl w:ilvl="0" w:tplc="786E9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806C07"/>
    <w:multiLevelType w:val="hybridMultilevel"/>
    <w:tmpl w:val="4F2CA804"/>
    <w:lvl w:ilvl="0" w:tplc="4BA67754">
      <w:start w:val="4"/>
      <w:numFmt w:val="decimal"/>
      <w:lvlText w:val="%1)"/>
      <w:lvlJc w:val="left"/>
      <w:pPr>
        <w:ind w:left="720" w:hanging="360"/>
      </w:pPr>
      <w:rPr>
        <w:rFonts w:hint="defaul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1D1F"/>
    <w:multiLevelType w:val="hybridMultilevel"/>
    <w:tmpl w:val="AFE0A59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71CE4760"/>
    <w:multiLevelType w:val="hybridMultilevel"/>
    <w:tmpl w:val="D728AD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E612A2C"/>
    <w:multiLevelType w:val="hybridMultilevel"/>
    <w:tmpl w:val="3152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49"/>
    <w:rsid w:val="0000426A"/>
    <w:rsid w:val="0002130F"/>
    <w:rsid w:val="00026035"/>
    <w:rsid w:val="000271AE"/>
    <w:rsid w:val="00037538"/>
    <w:rsid w:val="00043ACB"/>
    <w:rsid w:val="00045063"/>
    <w:rsid w:val="00047EDD"/>
    <w:rsid w:val="00064674"/>
    <w:rsid w:val="000654A8"/>
    <w:rsid w:val="00067F87"/>
    <w:rsid w:val="00073D2A"/>
    <w:rsid w:val="00086090"/>
    <w:rsid w:val="00086969"/>
    <w:rsid w:val="00090C80"/>
    <w:rsid w:val="00091F4F"/>
    <w:rsid w:val="00094FFB"/>
    <w:rsid w:val="00095CEC"/>
    <w:rsid w:val="000A2D53"/>
    <w:rsid w:val="000A7AB9"/>
    <w:rsid w:val="000B68C6"/>
    <w:rsid w:val="000C33BB"/>
    <w:rsid w:val="000C572A"/>
    <w:rsid w:val="000E1A27"/>
    <w:rsid w:val="000E1DD5"/>
    <w:rsid w:val="000E5489"/>
    <w:rsid w:val="001022BA"/>
    <w:rsid w:val="001257DB"/>
    <w:rsid w:val="0012746E"/>
    <w:rsid w:val="001304EB"/>
    <w:rsid w:val="00137973"/>
    <w:rsid w:val="00141C9A"/>
    <w:rsid w:val="00146DED"/>
    <w:rsid w:val="001503C5"/>
    <w:rsid w:val="00154558"/>
    <w:rsid w:val="0016556A"/>
    <w:rsid w:val="0018045E"/>
    <w:rsid w:val="00186C9F"/>
    <w:rsid w:val="001A21C7"/>
    <w:rsid w:val="001A733C"/>
    <w:rsid w:val="001A7B65"/>
    <w:rsid w:val="001B5A80"/>
    <w:rsid w:val="001B6FA9"/>
    <w:rsid w:val="001E2496"/>
    <w:rsid w:val="001E6136"/>
    <w:rsid w:val="001F5C1E"/>
    <w:rsid w:val="00224049"/>
    <w:rsid w:val="0023357D"/>
    <w:rsid w:val="00236CF9"/>
    <w:rsid w:val="00237745"/>
    <w:rsid w:val="00240ACF"/>
    <w:rsid w:val="00250103"/>
    <w:rsid w:val="00261BD4"/>
    <w:rsid w:val="002678C7"/>
    <w:rsid w:val="002810EA"/>
    <w:rsid w:val="00286EB3"/>
    <w:rsid w:val="00291021"/>
    <w:rsid w:val="002947EA"/>
    <w:rsid w:val="002A363F"/>
    <w:rsid w:val="002D361C"/>
    <w:rsid w:val="002D6DC9"/>
    <w:rsid w:val="002E1C44"/>
    <w:rsid w:val="002F0996"/>
    <w:rsid w:val="002F528E"/>
    <w:rsid w:val="002F700A"/>
    <w:rsid w:val="002F7A99"/>
    <w:rsid w:val="0030276B"/>
    <w:rsid w:val="00332D4A"/>
    <w:rsid w:val="00334F30"/>
    <w:rsid w:val="00337AF9"/>
    <w:rsid w:val="00340BEA"/>
    <w:rsid w:val="003416C3"/>
    <w:rsid w:val="003431C7"/>
    <w:rsid w:val="0035393C"/>
    <w:rsid w:val="0035477F"/>
    <w:rsid w:val="00356775"/>
    <w:rsid w:val="00364026"/>
    <w:rsid w:val="0038078F"/>
    <w:rsid w:val="00383D87"/>
    <w:rsid w:val="003904A0"/>
    <w:rsid w:val="00392E19"/>
    <w:rsid w:val="0039329B"/>
    <w:rsid w:val="003A098E"/>
    <w:rsid w:val="003A66B5"/>
    <w:rsid w:val="003A66F5"/>
    <w:rsid w:val="003A6B7C"/>
    <w:rsid w:val="003B351C"/>
    <w:rsid w:val="003C7AF8"/>
    <w:rsid w:val="003D1682"/>
    <w:rsid w:val="003D4B7A"/>
    <w:rsid w:val="003D7BE0"/>
    <w:rsid w:val="003E0378"/>
    <w:rsid w:val="003E0599"/>
    <w:rsid w:val="003E37DB"/>
    <w:rsid w:val="003F1A57"/>
    <w:rsid w:val="003F1FD1"/>
    <w:rsid w:val="003F2922"/>
    <w:rsid w:val="00401631"/>
    <w:rsid w:val="0040753D"/>
    <w:rsid w:val="0045219E"/>
    <w:rsid w:val="00454BC6"/>
    <w:rsid w:val="004937B3"/>
    <w:rsid w:val="004A7BFE"/>
    <w:rsid w:val="004B6BFC"/>
    <w:rsid w:val="004B71F9"/>
    <w:rsid w:val="004D46A8"/>
    <w:rsid w:val="004F6C8B"/>
    <w:rsid w:val="0050630D"/>
    <w:rsid w:val="00537496"/>
    <w:rsid w:val="005558C4"/>
    <w:rsid w:val="00556A55"/>
    <w:rsid w:val="00564E4B"/>
    <w:rsid w:val="0056563D"/>
    <w:rsid w:val="005778EE"/>
    <w:rsid w:val="00580A75"/>
    <w:rsid w:val="00581D55"/>
    <w:rsid w:val="0058303C"/>
    <w:rsid w:val="00583818"/>
    <w:rsid w:val="00583FCD"/>
    <w:rsid w:val="00584531"/>
    <w:rsid w:val="005852F3"/>
    <w:rsid w:val="0058661D"/>
    <w:rsid w:val="00587D15"/>
    <w:rsid w:val="00590ACF"/>
    <w:rsid w:val="00590D4E"/>
    <w:rsid w:val="0059422B"/>
    <w:rsid w:val="00597A7C"/>
    <w:rsid w:val="005A6685"/>
    <w:rsid w:val="005C23BB"/>
    <w:rsid w:val="005D005F"/>
    <w:rsid w:val="005D4422"/>
    <w:rsid w:val="005D7D2F"/>
    <w:rsid w:val="005E08D9"/>
    <w:rsid w:val="005E5B57"/>
    <w:rsid w:val="005F2BAC"/>
    <w:rsid w:val="005F4294"/>
    <w:rsid w:val="00604FD0"/>
    <w:rsid w:val="00623BC9"/>
    <w:rsid w:val="00626EEF"/>
    <w:rsid w:val="0064378F"/>
    <w:rsid w:val="00662C06"/>
    <w:rsid w:val="00662D80"/>
    <w:rsid w:val="006631FA"/>
    <w:rsid w:val="006675CB"/>
    <w:rsid w:val="00673C1D"/>
    <w:rsid w:val="0068122B"/>
    <w:rsid w:val="006946AF"/>
    <w:rsid w:val="006960AB"/>
    <w:rsid w:val="006B271E"/>
    <w:rsid w:val="006B2B14"/>
    <w:rsid w:val="006C2ACF"/>
    <w:rsid w:val="006C313A"/>
    <w:rsid w:val="006D0750"/>
    <w:rsid w:val="006D09CC"/>
    <w:rsid w:val="006F0B34"/>
    <w:rsid w:val="00700949"/>
    <w:rsid w:val="007060B3"/>
    <w:rsid w:val="007200F7"/>
    <w:rsid w:val="00721C90"/>
    <w:rsid w:val="00743ADF"/>
    <w:rsid w:val="00750EEF"/>
    <w:rsid w:val="00756AAC"/>
    <w:rsid w:val="007635DA"/>
    <w:rsid w:val="0076396A"/>
    <w:rsid w:val="00765808"/>
    <w:rsid w:val="0077207B"/>
    <w:rsid w:val="00781662"/>
    <w:rsid w:val="0078463B"/>
    <w:rsid w:val="00784B64"/>
    <w:rsid w:val="00786545"/>
    <w:rsid w:val="00790AC4"/>
    <w:rsid w:val="007A223C"/>
    <w:rsid w:val="007A4FCC"/>
    <w:rsid w:val="007A520E"/>
    <w:rsid w:val="007A66AC"/>
    <w:rsid w:val="007B497E"/>
    <w:rsid w:val="007B5838"/>
    <w:rsid w:val="007C2552"/>
    <w:rsid w:val="007C39A5"/>
    <w:rsid w:val="007D41BA"/>
    <w:rsid w:val="007D5CF8"/>
    <w:rsid w:val="007E4495"/>
    <w:rsid w:val="007F064A"/>
    <w:rsid w:val="00806DD4"/>
    <w:rsid w:val="008234E5"/>
    <w:rsid w:val="00831192"/>
    <w:rsid w:val="00832A96"/>
    <w:rsid w:val="00840BA9"/>
    <w:rsid w:val="0085348C"/>
    <w:rsid w:val="00860556"/>
    <w:rsid w:val="0086782E"/>
    <w:rsid w:val="0087057C"/>
    <w:rsid w:val="00886C9B"/>
    <w:rsid w:val="008A62E9"/>
    <w:rsid w:val="008A6311"/>
    <w:rsid w:val="008C50BB"/>
    <w:rsid w:val="008D4610"/>
    <w:rsid w:val="008D5A59"/>
    <w:rsid w:val="008D5F5D"/>
    <w:rsid w:val="008D742A"/>
    <w:rsid w:val="008E7713"/>
    <w:rsid w:val="00914669"/>
    <w:rsid w:val="00922592"/>
    <w:rsid w:val="00923941"/>
    <w:rsid w:val="0092441C"/>
    <w:rsid w:val="00941CA0"/>
    <w:rsid w:val="00950A88"/>
    <w:rsid w:val="00953CB8"/>
    <w:rsid w:val="009628EB"/>
    <w:rsid w:val="00963B58"/>
    <w:rsid w:val="00974B9A"/>
    <w:rsid w:val="009768B5"/>
    <w:rsid w:val="00980290"/>
    <w:rsid w:val="00986E28"/>
    <w:rsid w:val="009A6B2D"/>
    <w:rsid w:val="009B6840"/>
    <w:rsid w:val="009D421D"/>
    <w:rsid w:val="009E0E29"/>
    <w:rsid w:val="009F2037"/>
    <w:rsid w:val="009F2D06"/>
    <w:rsid w:val="009F71DD"/>
    <w:rsid w:val="009F77F5"/>
    <w:rsid w:val="00A01300"/>
    <w:rsid w:val="00A10708"/>
    <w:rsid w:val="00A111E6"/>
    <w:rsid w:val="00A15C70"/>
    <w:rsid w:val="00A2244E"/>
    <w:rsid w:val="00A33119"/>
    <w:rsid w:val="00A362EC"/>
    <w:rsid w:val="00A45B3A"/>
    <w:rsid w:val="00A504DA"/>
    <w:rsid w:val="00A547A8"/>
    <w:rsid w:val="00A54917"/>
    <w:rsid w:val="00A64D5D"/>
    <w:rsid w:val="00A65F40"/>
    <w:rsid w:val="00A712D7"/>
    <w:rsid w:val="00A7245C"/>
    <w:rsid w:val="00A77E49"/>
    <w:rsid w:val="00A80C26"/>
    <w:rsid w:val="00A950C0"/>
    <w:rsid w:val="00AA6C43"/>
    <w:rsid w:val="00AB4581"/>
    <w:rsid w:val="00AB61EC"/>
    <w:rsid w:val="00AB70C6"/>
    <w:rsid w:val="00AC20A4"/>
    <w:rsid w:val="00AC2113"/>
    <w:rsid w:val="00AC53E0"/>
    <w:rsid w:val="00AC788E"/>
    <w:rsid w:val="00AD193C"/>
    <w:rsid w:val="00AD4B84"/>
    <w:rsid w:val="00AE5205"/>
    <w:rsid w:val="00AE69A6"/>
    <w:rsid w:val="00AE7DCD"/>
    <w:rsid w:val="00B0235B"/>
    <w:rsid w:val="00B40461"/>
    <w:rsid w:val="00B456A6"/>
    <w:rsid w:val="00B51EA9"/>
    <w:rsid w:val="00B568C7"/>
    <w:rsid w:val="00B66669"/>
    <w:rsid w:val="00B704C4"/>
    <w:rsid w:val="00B70F9E"/>
    <w:rsid w:val="00B92BCB"/>
    <w:rsid w:val="00BA5BB4"/>
    <w:rsid w:val="00BB013E"/>
    <w:rsid w:val="00BB3B05"/>
    <w:rsid w:val="00BB6686"/>
    <w:rsid w:val="00BB799A"/>
    <w:rsid w:val="00BC0598"/>
    <w:rsid w:val="00BC7BA3"/>
    <w:rsid w:val="00BD7EE8"/>
    <w:rsid w:val="00BE3003"/>
    <w:rsid w:val="00C07D18"/>
    <w:rsid w:val="00C43550"/>
    <w:rsid w:val="00C4423D"/>
    <w:rsid w:val="00C56D3D"/>
    <w:rsid w:val="00C609B5"/>
    <w:rsid w:val="00C63D03"/>
    <w:rsid w:val="00C64D9C"/>
    <w:rsid w:val="00C779A9"/>
    <w:rsid w:val="00C87FEE"/>
    <w:rsid w:val="00C9523D"/>
    <w:rsid w:val="00CA343D"/>
    <w:rsid w:val="00CA56C2"/>
    <w:rsid w:val="00CB3B82"/>
    <w:rsid w:val="00CC26E7"/>
    <w:rsid w:val="00CC4D7A"/>
    <w:rsid w:val="00CC57E4"/>
    <w:rsid w:val="00CD6204"/>
    <w:rsid w:val="00CD7320"/>
    <w:rsid w:val="00CE4EFC"/>
    <w:rsid w:val="00CF2AEF"/>
    <w:rsid w:val="00CF6390"/>
    <w:rsid w:val="00D01A0D"/>
    <w:rsid w:val="00D0359F"/>
    <w:rsid w:val="00D05214"/>
    <w:rsid w:val="00D06CA3"/>
    <w:rsid w:val="00D148BD"/>
    <w:rsid w:val="00D22D48"/>
    <w:rsid w:val="00D2741D"/>
    <w:rsid w:val="00D33106"/>
    <w:rsid w:val="00D35831"/>
    <w:rsid w:val="00D37C84"/>
    <w:rsid w:val="00D416C1"/>
    <w:rsid w:val="00D47340"/>
    <w:rsid w:val="00D56905"/>
    <w:rsid w:val="00D613B5"/>
    <w:rsid w:val="00D65950"/>
    <w:rsid w:val="00D76C26"/>
    <w:rsid w:val="00D87429"/>
    <w:rsid w:val="00D936E0"/>
    <w:rsid w:val="00D97C49"/>
    <w:rsid w:val="00DB4D01"/>
    <w:rsid w:val="00DB4E48"/>
    <w:rsid w:val="00DB6720"/>
    <w:rsid w:val="00DC076D"/>
    <w:rsid w:val="00DC25D3"/>
    <w:rsid w:val="00DC5F9B"/>
    <w:rsid w:val="00DE62AA"/>
    <w:rsid w:val="00DE6B21"/>
    <w:rsid w:val="00DF1568"/>
    <w:rsid w:val="00DF3B2F"/>
    <w:rsid w:val="00DF7DA6"/>
    <w:rsid w:val="00E01B01"/>
    <w:rsid w:val="00E10C2E"/>
    <w:rsid w:val="00E171E6"/>
    <w:rsid w:val="00E2245E"/>
    <w:rsid w:val="00E23862"/>
    <w:rsid w:val="00E3275E"/>
    <w:rsid w:val="00E400AE"/>
    <w:rsid w:val="00E412D2"/>
    <w:rsid w:val="00E42356"/>
    <w:rsid w:val="00E44B87"/>
    <w:rsid w:val="00E51AD3"/>
    <w:rsid w:val="00E548E7"/>
    <w:rsid w:val="00E5503C"/>
    <w:rsid w:val="00E56D05"/>
    <w:rsid w:val="00E67844"/>
    <w:rsid w:val="00E86DB2"/>
    <w:rsid w:val="00E9755A"/>
    <w:rsid w:val="00EB1C37"/>
    <w:rsid w:val="00EC1F97"/>
    <w:rsid w:val="00ED4E96"/>
    <w:rsid w:val="00EE71C3"/>
    <w:rsid w:val="00EE7A48"/>
    <w:rsid w:val="00EF09F0"/>
    <w:rsid w:val="00EF403C"/>
    <w:rsid w:val="00EF77B7"/>
    <w:rsid w:val="00F002F6"/>
    <w:rsid w:val="00F0188B"/>
    <w:rsid w:val="00F11A77"/>
    <w:rsid w:val="00F22362"/>
    <w:rsid w:val="00F30D2F"/>
    <w:rsid w:val="00F44380"/>
    <w:rsid w:val="00F56245"/>
    <w:rsid w:val="00F711B4"/>
    <w:rsid w:val="00F72881"/>
    <w:rsid w:val="00F77019"/>
    <w:rsid w:val="00F800CD"/>
    <w:rsid w:val="00F80B5B"/>
    <w:rsid w:val="00F91C4A"/>
    <w:rsid w:val="00FA2143"/>
    <w:rsid w:val="00FA3A92"/>
    <w:rsid w:val="00FB0B3D"/>
    <w:rsid w:val="00FB4628"/>
    <w:rsid w:val="00FD3A64"/>
    <w:rsid w:val="00FF6434"/>
    <w:rsid w:val="5E0AEB8F"/>
    <w:rsid w:val="61B41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9222E"/>
  <w15:docId w15:val="{961B9E91-0448-4092-9F3C-CCE19323B1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00949"/>
    <w:pPr>
      <w:spacing w:after="0" w:line="240" w:lineRule="auto"/>
    </w:pPr>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styleId="CommentTextChar" w:customStyle="1">
    <w:name w:val="Comment Text Char"/>
    <w:basedOn w:val="DefaultParagraphFont"/>
    <w:link w:val="CommentText"/>
    <w:uiPriority w:val="99"/>
    <w:semiHidden/>
    <w:rsid w:val="00700949"/>
    <w:rPr>
      <w:rFonts w:ascii="Calibri" w:hAnsi="Calibri"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styleId="CommentSubjectChar" w:customStyle="1">
    <w:name w:val="Comment Subject Char"/>
    <w:basedOn w:val="CommentTextChar"/>
    <w:link w:val="CommentSubject"/>
    <w:uiPriority w:val="99"/>
    <w:semiHidden/>
    <w:rsid w:val="00700949"/>
    <w:rPr>
      <w:rFonts w:ascii="Calibri" w:hAnsi="Calibri" w:eastAsia="Times New Roman"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styleId="BalloonTextChar" w:customStyle="1">
    <w:name w:val="Balloon Text Char"/>
    <w:basedOn w:val="DefaultParagraphFont"/>
    <w:link w:val="BalloonText"/>
    <w:uiPriority w:val="99"/>
    <w:semiHidden/>
    <w:rsid w:val="00700949"/>
    <w:rPr>
      <w:rFonts w:ascii="Tahoma" w:hAnsi="Tahoma" w:eastAsia="Times New Roman"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472336976">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43455343">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16168114">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5AAFD655125E44A6F3148B2BA6B4FA" ma:contentTypeVersion="2" ma:contentTypeDescription="Create a new document." ma:contentTypeScope="" ma:versionID="ed09f230faab88e85985da03548312fb">
  <xsd:schema xmlns:xsd="http://www.w3.org/2001/XMLSchema" xmlns:xs="http://www.w3.org/2001/XMLSchema" xmlns:p="http://schemas.microsoft.com/office/2006/metadata/properties" xmlns:ns3="9a8e37e4-820f-40a0-a2e8-05cc03fa2192" targetNamespace="http://schemas.microsoft.com/office/2006/metadata/properties" ma:root="true" ma:fieldsID="371f9906ccb0009164932a391c50e272" ns3:_="">
    <xsd:import namespace="9a8e37e4-820f-40a0-a2e8-05cc03fa2192"/>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37e4-820f-40a0-a2e8-05cc03fa21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5F25A-349C-400F-BA42-548FDB01474E}">
  <ds:schemaRefs>
    <ds:schemaRef ds:uri="http://schemas.microsoft.com/sharepoint/v3/contenttype/forms"/>
  </ds:schemaRefs>
</ds:datastoreItem>
</file>

<file path=customXml/itemProps2.xml><?xml version="1.0" encoding="utf-8"?>
<ds:datastoreItem xmlns:ds="http://schemas.openxmlformats.org/officeDocument/2006/customXml" ds:itemID="{84FA8092-8DE7-44EA-AC97-76C7D1AAFD4E}">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9a8e37e4-820f-40a0-a2e8-05cc03fa2192"/>
  </ds:schemaRefs>
</ds:datastoreItem>
</file>

<file path=customXml/itemProps3.xml><?xml version="1.0" encoding="utf-8"?>
<ds:datastoreItem xmlns:ds="http://schemas.openxmlformats.org/officeDocument/2006/customXml" ds:itemID="{D6679FD3-CDDA-4FFB-88D0-227A5E0A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37e4-820f-40a0-a2e8-05cc03fa2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tpella</dc:creator>
  <lastModifiedBy>Theresa Pella</lastModifiedBy>
  <revision>3</revision>
  <lastPrinted>2016-04-13T23:10:00.0000000Z</lastPrinted>
  <dcterms:created xsi:type="dcterms:W3CDTF">2016-04-13T23:10:00.0000000Z</dcterms:created>
  <dcterms:modified xsi:type="dcterms:W3CDTF">2016-05-03T20:47:00.8251017Z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0x0101007E5AAFD655125E44A6F3148B2BA6B4FA</vt:lpwstr>
  </property>
</Properties>
</file>